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CE1" w:rsidRPr="00647537" w:rsidRDefault="00E541EB">
      <w:pPr>
        <w:tabs>
          <w:tab w:val="left" w:pos="6379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right="566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GoBack"/>
      <w:r w:rsidRPr="00647537">
        <w:rPr>
          <w:rFonts w:ascii="Calibri" w:hAnsi="Calibri" w:cs="Calibri"/>
          <w:b/>
          <w:bCs/>
          <w:sz w:val="24"/>
          <w:szCs w:val="24"/>
        </w:rPr>
        <w:t>Paper 2: Comparative essay</w:t>
      </w:r>
    </w:p>
    <w:p w:rsidR="002E2CE1" w:rsidRPr="00647537" w:rsidRDefault="002E2CE1">
      <w:pPr>
        <w:tabs>
          <w:tab w:val="left" w:pos="6379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right="566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1514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1171"/>
        <w:gridCol w:w="1879"/>
        <w:gridCol w:w="2416"/>
        <w:gridCol w:w="2188"/>
        <w:gridCol w:w="2200"/>
        <w:gridCol w:w="2281"/>
      </w:tblGrid>
      <w:tr w:rsidR="002E2CE1" w:rsidRPr="00647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tblHeader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2E2CE1">
            <w:pPr>
              <w:rPr>
                <w:rFonts w:ascii="Calibri" w:hAnsi="Calibri" w:cs="Calibri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3A"/>
              <w:jc w:val="center"/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</w:rPr>
              <w:t>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3A"/>
              <w:jc w:val="center"/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</w:rPr>
              <w:t>1-2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3A"/>
              <w:jc w:val="center"/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</w:rPr>
              <w:t>3-4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3A"/>
              <w:jc w:val="center"/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</w:rPr>
              <w:t>5-6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3A"/>
              <w:jc w:val="center"/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</w:rPr>
              <w:t>7-8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3A"/>
              <w:jc w:val="center"/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</w:rPr>
              <w:t>9-10</w:t>
            </w:r>
          </w:p>
        </w:tc>
      </w:tr>
      <w:tr w:rsidR="002E2CE1" w:rsidRPr="0064753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/>
        </w:trPr>
        <w:tc>
          <w:tcPr>
            <w:tcW w:w="30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2A"/>
              <w:tabs>
                <w:tab w:val="left" w:pos="6379"/>
              </w:tabs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647537">
              <w:rPr>
                <w:rFonts w:ascii="Calibri" w:hAnsi="Calibri" w:cs="Calibri"/>
                <w:b/>
                <w:bCs/>
                <w:sz w:val="16"/>
                <w:szCs w:val="16"/>
              </w:rPr>
              <w:t>Criterion A: Knowledge, understanding and interpretation</w:t>
            </w:r>
          </w:p>
          <w:p w:rsidR="002E2CE1" w:rsidRPr="00647537" w:rsidRDefault="00E541EB">
            <w:pPr>
              <w:pStyle w:val="Tabellenstil2A"/>
              <w:numPr>
                <w:ilvl w:val="0"/>
                <w:numId w:val="1"/>
              </w:numPr>
              <w:rPr>
                <w:rFonts w:ascii="Calibri" w:hAnsi="Calibri" w:cs="Calibri"/>
                <w:sz w:val="15"/>
                <w:szCs w:val="15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 xml:space="preserve">How much knowledge and understanding of the works does the candidate demonstrate? </w:t>
            </w:r>
          </w:p>
          <w:p w:rsidR="002E2CE1" w:rsidRPr="00647537" w:rsidRDefault="00E541EB">
            <w:pPr>
              <w:pStyle w:val="Tabellenstil2A"/>
              <w:numPr>
                <w:ilvl w:val="0"/>
                <w:numId w:val="1"/>
              </w:numPr>
              <w:rPr>
                <w:rFonts w:ascii="Calibri" w:hAnsi="Calibri" w:cs="Calibri"/>
                <w:sz w:val="15"/>
                <w:szCs w:val="15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>To what extent does the candidate make use of knowledge and understanding of the works to draw conclusions about their similarities and differences in relation to the questi</w:t>
            </w:r>
            <w:r w:rsidRPr="00647537">
              <w:rPr>
                <w:rFonts w:ascii="Calibri" w:hAnsi="Calibri" w:cs="Calibri"/>
                <w:sz w:val="15"/>
                <w:szCs w:val="15"/>
              </w:rPr>
              <w:t xml:space="preserve">on?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2A"/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>The work does not reach a standard described by the descriptors below.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2A"/>
              <w:tabs>
                <w:tab w:val="left" w:pos="708"/>
                <w:tab w:val="left" w:pos="1416"/>
              </w:tabs>
              <w:rPr>
                <w:rFonts w:ascii="Calibri" w:hAnsi="Calibri" w:cs="Calibri"/>
                <w:sz w:val="15"/>
                <w:szCs w:val="15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 xml:space="preserve">There is little knowledge and understanding of the works in relation to the question answered. </w:t>
            </w:r>
          </w:p>
          <w:p w:rsidR="002E2CE1" w:rsidRPr="00647537" w:rsidRDefault="00E541EB">
            <w:pPr>
              <w:pStyle w:val="Tabellenstil2A"/>
              <w:tabs>
                <w:tab w:val="left" w:pos="708"/>
                <w:tab w:val="left" w:pos="1416"/>
              </w:tabs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 xml:space="preserve">There is little meaningful comparison and contrast of the works used in relation to the question. 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2A"/>
              <w:tabs>
                <w:tab w:val="left" w:pos="708"/>
                <w:tab w:val="left" w:pos="1416"/>
              </w:tabs>
              <w:rPr>
                <w:rFonts w:ascii="Calibri" w:hAnsi="Calibri" w:cs="Calibri"/>
                <w:sz w:val="15"/>
                <w:szCs w:val="15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>There is some knowledge and understanding of the works in rel</w:t>
            </w:r>
            <w:r w:rsidRPr="00647537">
              <w:rPr>
                <w:rFonts w:ascii="Calibri" w:hAnsi="Calibri" w:cs="Calibri"/>
                <w:sz w:val="15"/>
                <w:szCs w:val="15"/>
              </w:rPr>
              <w:t xml:space="preserve">ation to the question answered. </w:t>
            </w:r>
          </w:p>
          <w:p w:rsidR="002E2CE1" w:rsidRPr="00647537" w:rsidRDefault="00E541EB">
            <w:pPr>
              <w:pStyle w:val="Tabellenstil2A"/>
              <w:tabs>
                <w:tab w:val="left" w:pos="708"/>
                <w:tab w:val="left" w:pos="1416"/>
              </w:tabs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 xml:space="preserve">There is a superficial attempt to compare and contrast the works used in relation to the question.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2A"/>
              <w:tabs>
                <w:tab w:val="left" w:pos="708"/>
                <w:tab w:val="left" w:pos="1416"/>
              </w:tabs>
              <w:rPr>
                <w:rFonts w:ascii="Calibri" w:hAnsi="Calibri" w:cs="Calibri"/>
                <w:sz w:val="15"/>
                <w:szCs w:val="15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>There is satisfactory knowledge and understanding of the works and an interpretation of their implications in relation to t</w:t>
            </w:r>
            <w:r w:rsidRPr="00647537">
              <w:rPr>
                <w:rFonts w:ascii="Calibri" w:hAnsi="Calibri" w:cs="Calibri"/>
                <w:sz w:val="15"/>
                <w:szCs w:val="15"/>
              </w:rPr>
              <w:t xml:space="preserve">he question answered. </w:t>
            </w:r>
          </w:p>
          <w:p w:rsidR="002E2CE1" w:rsidRPr="00647537" w:rsidRDefault="00E541EB">
            <w:pPr>
              <w:pStyle w:val="Tabellenstil2A"/>
              <w:tabs>
                <w:tab w:val="left" w:pos="708"/>
                <w:tab w:val="left" w:pos="1416"/>
              </w:tabs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 xml:space="preserve">The essay offers a satisfactory interpretation of the similarities and differences between the works used in relation to the question. 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2A"/>
              <w:tabs>
                <w:tab w:val="left" w:pos="708"/>
                <w:tab w:val="left" w:pos="1416"/>
              </w:tabs>
              <w:rPr>
                <w:rFonts w:ascii="Calibri" w:hAnsi="Calibri" w:cs="Calibri"/>
                <w:sz w:val="15"/>
                <w:szCs w:val="15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>There is good knowledge and understanding of the works and a sustained interpretation of their im</w:t>
            </w:r>
            <w:r w:rsidRPr="00647537">
              <w:rPr>
                <w:rFonts w:ascii="Calibri" w:hAnsi="Calibri" w:cs="Calibri"/>
                <w:sz w:val="15"/>
                <w:szCs w:val="15"/>
              </w:rPr>
              <w:t xml:space="preserve">plications in relation to the question answered. </w:t>
            </w:r>
          </w:p>
          <w:p w:rsidR="002E2CE1" w:rsidRPr="00647537" w:rsidRDefault="00E541EB">
            <w:pPr>
              <w:pStyle w:val="Tabellenstil2A"/>
              <w:tabs>
                <w:tab w:val="left" w:pos="708"/>
                <w:tab w:val="left" w:pos="1416"/>
              </w:tabs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 xml:space="preserve">The essay offers a convincing interpretation of the similarities and differences between the works used in relation to the question. 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2A"/>
              <w:tabs>
                <w:tab w:val="left" w:pos="708"/>
                <w:tab w:val="left" w:pos="1416"/>
              </w:tabs>
              <w:rPr>
                <w:rFonts w:ascii="Calibri" w:hAnsi="Calibri" w:cs="Calibri"/>
                <w:sz w:val="15"/>
                <w:szCs w:val="15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>There is perceptive knowledge and understanding of the works and a persu</w:t>
            </w:r>
            <w:r w:rsidRPr="00647537">
              <w:rPr>
                <w:rFonts w:ascii="Calibri" w:hAnsi="Calibri" w:cs="Calibri"/>
                <w:sz w:val="15"/>
                <w:szCs w:val="15"/>
              </w:rPr>
              <w:t xml:space="preserve">asive interpretation of their implications in relation to the question answered. </w:t>
            </w:r>
          </w:p>
          <w:p w:rsidR="002E2CE1" w:rsidRPr="00647537" w:rsidRDefault="00E541EB">
            <w:pPr>
              <w:pStyle w:val="Tabellenstil2A"/>
              <w:tabs>
                <w:tab w:val="left" w:pos="708"/>
                <w:tab w:val="left" w:pos="1416"/>
              </w:tabs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>The essay offers an insightful interpretation of the similarities and differences between the works used in relation to the question.</w:t>
            </w:r>
          </w:p>
        </w:tc>
      </w:tr>
      <w:tr w:rsidR="002E2CE1" w:rsidRPr="0064753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extA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64753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Criterion B: Analysis and </w:t>
            </w:r>
            <w:r w:rsidRPr="00647537">
              <w:rPr>
                <w:rFonts w:ascii="Calibri" w:hAnsi="Calibri" w:cs="Calibri"/>
                <w:b/>
                <w:bCs/>
                <w:sz w:val="16"/>
                <w:szCs w:val="16"/>
              </w:rPr>
              <w:t>evaluation</w:t>
            </w:r>
          </w:p>
          <w:p w:rsidR="002E2CE1" w:rsidRPr="00647537" w:rsidRDefault="00E541EB">
            <w:pPr>
              <w:pStyle w:val="TextA"/>
              <w:numPr>
                <w:ilvl w:val="0"/>
                <w:numId w:val="2"/>
              </w:numPr>
              <w:rPr>
                <w:rFonts w:ascii="Calibri" w:hAnsi="Calibri" w:cs="Calibri"/>
                <w:sz w:val="15"/>
                <w:szCs w:val="15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>To what extent does the candidate analyse and evaluate how the choices of language, technique and style, and/or broader authorial choices, shape meaning?</w:t>
            </w:r>
          </w:p>
          <w:p w:rsidR="002E2CE1" w:rsidRPr="00647537" w:rsidRDefault="00E541EB">
            <w:pPr>
              <w:pStyle w:val="TextA"/>
              <w:numPr>
                <w:ilvl w:val="0"/>
                <w:numId w:val="2"/>
              </w:numPr>
              <w:rPr>
                <w:rFonts w:ascii="Calibri" w:hAnsi="Calibri" w:cs="Calibri"/>
                <w:sz w:val="15"/>
                <w:szCs w:val="15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 xml:space="preserve">How effectively does the candidate use analysis and evaluation skills to compare and contrast both works?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2A"/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>The work does not reach a standard described by the descriptors below.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2A"/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>The essay is descriptive and/or demonstrates little relevant analysis of textu</w:t>
            </w:r>
            <w:r w:rsidRPr="00647537">
              <w:rPr>
                <w:rFonts w:ascii="Calibri" w:hAnsi="Calibri" w:cs="Calibri"/>
                <w:sz w:val="15"/>
                <w:szCs w:val="15"/>
              </w:rPr>
              <w:t xml:space="preserve">al features and/or the broader authorial choices. 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2A"/>
              <w:rPr>
                <w:rFonts w:ascii="Calibri" w:hAnsi="Calibri" w:cs="Calibri"/>
                <w:sz w:val="15"/>
                <w:szCs w:val="15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 xml:space="preserve">The essay demonstrates some appropriate analysis of textual features and/or broader authorial choices, but is reliant on description. </w:t>
            </w:r>
          </w:p>
          <w:p w:rsidR="002E2CE1" w:rsidRPr="00647537" w:rsidRDefault="00E541EB">
            <w:pPr>
              <w:pStyle w:val="Tabellenstil2A"/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>There is a superficial comparison and contrast of the authors' choices</w:t>
            </w:r>
            <w:r w:rsidRPr="00647537">
              <w:rPr>
                <w:rFonts w:ascii="Calibri" w:hAnsi="Calibri" w:cs="Calibri"/>
                <w:sz w:val="15"/>
                <w:szCs w:val="15"/>
              </w:rPr>
              <w:t xml:space="preserve"> in the works selected. 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2A"/>
              <w:rPr>
                <w:rFonts w:ascii="Calibri" w:hAnsi="Calibri" w:cs="Calibri"/>
                <w:sz w:val="15"/>
                <w:szCs w:val="15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 xml:space="preserve">The essay demonstrates a generally appropriate analysis of textual features and/or broader authorial choices. </w:t>
            </w:r>
          </w:p>
          <w:p w:rsidR="002E2CE1" w:rsidRPr="00647537" w:rsidRDefault="00E541EB">
            <w:pPr>
              <w:pStyle w:val="Tabellenstil2A"/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>There is an adequate comparison and contrast of the authors</w:t>
            </w:r>
            <w:r w:rsidRPr="00647537">
              <w:rPr>
                <w:rFonts w:ascii="Calibri" w:hAnsi="Calibri" w:cs="Calibri"/>
                <w:sz w:val="15"/>
                <w:szCs w:val="15"/>
              </w:rPr>
              <w:t xml:space="preserve">’ </w:t>
            </w:r>
            <w:r w:rsidRPr="00647537">
              <w:rPr>
                <w:rFonts w:ascii="Calibri" w:hAnsi="Calibri" w:cs="Calibri"/>
                <w:sz w:val="15"/>
                <w:szCs w:val="15"/>
              </w:rPr>
              <w:t xml:space="preserve">choices in the works selected. 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2A"/>
              <w:rPr>
                <w:rFonts w:ascii="Calibri" w:hAnsi="Calibri" w:cs="Calibri"/>
                <w:sz w:val="15"/>
                <w:szCs w:val="15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 xml:space="preserve">The essay demonstrates an appropriate and at times insightful analysis of textual features and/or broader authorial choices. There is a good evaluation of how such features and/or choices shape meaning. </w:t>
            </w:r>
          </w:p>
          <w:p w:rsidR="002E2CE1" w:rsidRPr="00647537" w:rsidRDefault="00E541EB">
            <w:pPr>
              <w:pStyle w:val="Tabellenstil2A"/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>There is a good comp</w:t>
            </w:r>
            <w:r w:rsidRPr="00647537">
              <w:rPr>
                <w:rFonts w:ascii="Calibri" w:hAnsi="Calibri" w:cs="Calibri"/>
                <w:sz w:val="15"/>
                <w:szCs w:val="15"/>
              </w:rPr>
              <w:t>arison and contrast of the authors</w:t>
            </w:r>
            <w:r w:rsidRPr="00647537">
              <w:rPr>
                <w:rFonts w:ascii="Calibri" w:hAnsi="Calibri" w:cs="Calibri"/>
                <w:sz w:val="15"/>
                <w:szCs w:val="15"/>
              </w:rPr>
              <w:t xml:space="preserve">’ </w:t>
            </w:r>
            <w:r w:rsidRPr="00647537">
              <w:rPr>
                <w:rFonts w:ascii="Calibri" w:hAnsi="Calibri" w:cs="Calibri"/>
                <w:sz w:val="15"/>
                <w:szCs w:val="15"/>
              </w:rPr>
              <w:t xml:space="preserve">choices in the works selected. 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2A"/>
              <w:rPr>
                <w:rFonts w:ascii="Calibri" w:hAnsi="Calibri" w:cs="Calibri"/>
                <w:sz w:val="15"/>
                <w:szCs w:val="15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>The essay demonstrates a consistently insightful and convincing analysis of textual features and/or broader authorial choices. There is a very good evaluation of how such features and/or c</w:t>
            </w:r>
            <w:r w:rsidRPr="00647537">
              <w:rPr>
                <w:rFonts w:ascii="Calibri" w:hAnsi="Calibri" w:cs="Calibri"/>
                <w:sz w:val="15"/>
                <w:szCs w:val="15"/>
              </w:rPr>
              <w:t xml:space="preserve">hoices contribute to meaning. </w:t>
            </w:r>
          </w:p>
          <w:p w:rsidR="002E2CE1" w:rsidRPr="00647537" w:rsidRDefault="00E541EB">
            <w:pPr>
              <w:pStyle w:val="Tabellenstil2A"/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>There is a very good comparison and contrast of the author</w:t>
            </w:r>
            <w:r w:rsidRPr="00647537">
              <w:rPr>
                <w:rFonts w:ascii="Calibri" w:hAnsi="Calibri" w:cs="Calibri"/>
                <w:sz w:val="15"/>
                <w:szCs w:val="15"/>
              </w:rPr>
              <w:t xml:space="preserve">’ </w:t>
            </w:r>
            <w:r w:rsidRPr="00647537">
              <w:rPr>
                <w:rFonts w:ascii="Calibri" w:hAnsi="Calibri" w:cs="Calibri"/>
                <w:sz w:val="15"/>
                <w:szCs w:val="15"/>
              </w:rPr>
              <w:t>choices in the works selected.</w:t>
            </w:r>
          </w:p>
        </w:tc>
      </w:tr>
      <w:tr w:rsidR="002E2CE1" w:rsidRPr="0064753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2E2CE1">
            <w:pPr>
              <w:rPr>
                <w:rFonts w:ascii="Calibri" w:hAnsi="Calibri" w:cs="Calibri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CF09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2A"/>
              <w:jc w:val="center"/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</w:rPr>
              <w:t>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09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2A"/>
              <w:jc w:val="center"/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</w:rPr>
              <w:t>1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09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2A"/>
              <w:jc w:val="center"/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</w:rPr>
              <w:t>2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09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2A"/>
              <w:jc w:val="center"/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</w:rPr>
              <w:t>3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09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2A"/>
              <w:jc w:val="center"/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</w:rPr>
              <w:t>4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09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2A"/>
              <w:jc w:val="center"/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</w:rPr>
              <w:t>5</w:t>
            </w:r>
          </w:p>
        </w:tc>
      </w:tr>
      <w:tr w:rsidR="002E2CE1" w:rsidRPr="0064753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extA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647537">
              <w:rPr>
                <w:rFonts w:ascii="Calibri" w:hAnsi="Calibri" w:cs="Calibri"/>
                <w:b/>
                <w:bCs/>
                <w:sz w:val="16"/>
                <w:szCs w:val="16"/>
              </w:rPr>
              <w:t>Criterion C: Focus and organization</w:t>
            </w:r>
          </w:p>
          <w:p w:rsidR="002E2CE1" w:rsidRPr="00647537" w:rsidRDefault="00E541EB">
            <w:pPr>
              <w:pStyle w:val="TextA"/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>How well structured, balanced and focused is the presentation of ideas?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2A"/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 xml:space="preserve">The </w:t>
            </w:r>
            <w:r w:rsidRPr="00647537">
              <w:rPr>
                <w:rFonts w:ascii="Calibri" w:hAnsi="Calibri" w:cs="Calibri"/>
                <w:sz w:val="15"/>
                <w:szCs w:val="15"/>
              </w:rPr>
              <w:t>work does not reach a standard described by the descriptors below.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2A"/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>The essay rarely focuses on the task. There are few connections between ideas.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2A"/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 xml:space="preserve">The essay only sometimes focuses on the task, and treatment of the works may be unbalanced. There are some connections between ideas, but these are not always coherent. 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2A"/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>The essay maintains a focus on the task, despite some lapses; treatment of the works i</w:t>
            </w:r>
            <w:r w:rsidRPr="00647537">
              <w:rPr>
                <w:rFonts w:ascii="Calibri" w:hAnsi="Calibri" w:cs="Calibri"/>
                <w:sz w:val="15"/>
                <w:szCs w:val="15"/>
              </w:rPr>
              <w:t xml:space="preserve">s mostly balanced. The development of ideas is mostly logical; ideas are generally connected in a cohesive manner. 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2A"/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>The essay maintains a mostly clear and sustained focus on the task; treatment of the works is balanced. The development of ideas is logical;</w:t>
            </w:r>
            <w:r w:rsidRPr="00647537">
              <w:rPr>
                <w:rFonts w:ascii="Calibri" w:hAnsi="Calibri" w:cs="Calibri"/>
                <w:sz w:val="15"/>
                <w:szCs w:val="15"/>
              </w:rPr>
              <w:t xml:space="preserve"> ideas are cohesively connected. 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2A"/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 xml:space="preserve">The essay maintains a clear and sustained focus on the task; treatment of the works is well balanced. The development of ideas is logical and convincing; ideas are connected in a cogent manner. </w:t>
            </w:r>
          </w:p>
        </w:tc>
      </w:tr>
      <w:tr w:rsidR="002E2CE1" w:rsidRPr="0064753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extA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64753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Criterion D: </w:t>
            </w:r>
            <w:r w:rsidRPr="00647537">
              <w:rPr>
                <w:rFonts w:ascii="Calibri" w:hAnsi="Calibri" w:cs="Calibri"/>
                <w:b/>
                <w:bCs/>
                <w:sz w:val="16"/>
                <w:szCs w:val="16"/>
              </w:rPr>
              <w:t>Language</w:t>
            </w:r>
          </w:p>
          <w:p w:rsidR="002E2CE1" w:rsidRPr="00647537" w:rsidRDefault="00E541EB">
            <w:pPr>
              <w:pStyle w:val="TextA"/>
              <w:numPr>
                <w:ilvl w:val="0"/>
                <w:numId w:val="3"/>
              </w:numPr>
              <w:rPr>
                <w:rFonts w:ascii="Calibri" w:hAnsi="Calibri" w:cs="Calibri"/>
                <w:sz w:val="15"/>
                <w:szCs w:val="15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>How clear, varied and accurate is the language?</w:t>
            </w:r>
          </w:p>
          <w:p w:rsidR="002E2CE1" w:rsidRPr="00647537" w:rsidRDefault="00E541EB">
            <w:pPr>
              <w:pStyle w:val="TextA"/>
              <w:numPr>
                <w:ilvl w:val="0"/>
                <w:numId w:val="3"/>
              </w:numPr>
              <w:rPr>
                <w:rFonts w:ascii="Calibri" w:hAnsi="Calibri" w:cs="Calibri"/>
                <w:sz w:val="15"/>
                <w:szCs w:val="15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>How appropriate is the choice of register and style? (</w:t>
            </w:r>
            <w:r w:rsidRPr="00647537">
              <w:rPr>
                <w:rFonts w:ascii="Calibri" w:hAnsi="Calibri" w:cs="Calibri"/>
                <w:sz w:val="15"/>
                <w:szCs w:val="15"/>
              </w:rPr>
              <w:t>“</w:t>
            </w:r>
            <w:r w:rsidRPr="00647537">
              <w:rPr>
                <w:rFonts w:ascii="Calibri" w:hAnsi="Calibri" w:cs="Calibri"/>
                <w:sz w:val="15"/>
                <w:szCs w:val="15"/>
              </w:rPr>
              <w:t>Register</w:t>
            </w:r>
            <w:r w:rsidRPr="00647537">
              <w:rPr>
                <w:rFonts w:ascii="Calibri" w:hAnsi="Calibri" w:cs="Calibri"/>
                <w:sz w:val="15"/>
                <w:szCs w:val="15"/>
              </w:rPr>
              <w:t xml:space="preserve">” </w:t>
            </w:r>
            <w:r w:rsidRPr="00647537">
              <w:rPr>
                <w:rFonts w:ascii="Calibri" w:hAnsi="Calibri" w:cs="Calibri"/>
                <w:sz w:val="15"/>
                <w:szCs w:val="15"/>
              </w:rPr>
              <w:t>refers, in this context, to the candidate</w:t>
            </w:r>
            <w:r w:rsidRPr="00647537">
              <w:rPr>
                <w:rFonts w:ascii="Calibri" w:hAnsi="Calibri" w:cs="Calibri"/>
                <w:sz w:val="15"/>
                <w:szCs w:val="15"/>
              </w:rPr>
              <w:t>’</w:t>
            </w:r>
            <w:r w:rsidRPr="00647537">
              <w:rPr>
                <w:rFonts w:ascii="Calibri" w:hAnsi="Calibri" w:cs="Calibri"/>
                <w:sz w:val="15"/>
                <w:szCs w:val="15"/>
              </w:rPr>
              <w:t xml:space="preserve">s use of elements such as vocabulary, tone, sentence structure and terminology </w:t>
            </w:r>
            <w:r w:rsidRPr="00647537">
              <w:rPr>
                <w:rFonts w:ascii="Calibri" w:hAnsi="Calibri" w:cs="Calibri"/>
                <w:sz w:val="15"/>
                <w:szCs w:val="15"/>
              </w:rPr>
              <w:t>appropriate to the essay.)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2A"/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>The work does not reach a standard described by the descriptors below.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2A"/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 xml:space="preserve">Language is rarely clear and appropriate; there are many errors in grammar, vocabulary and sentence construction and little sense of register and style. 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2A"/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>Lang</w:t>
            </w:r>
            <w:r w:rsidRPr="00647537">
              <w:rPr>
                <w:rFonts w:ascii="Calibri" w:hAnsi="Calibri" w:cs="Calibri"/>
                <w:sz w:val="15"/>
                <w:szCs w:val="15"/>
              </w:rPr>
              <w:t xml:space="preserve">uage is sometimes clear and carefully chosen; grammar, vocabulary and sentence construction are fairly accurate, although errors and inconsistencies are apparent; the register and style are to some extent appropriate to the task. 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2A"/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 xml:space="preserve">Language is clear and carefully chosen, with an adequate degree of accuracy in grammar, vocabulary and sentence construction despite some lapses; register and style are mostly appropriate to the task. 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2A"/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>Language is clear and carefully chosen, with a good de</w:t>
            </w:r>
            <w:r w:rsidRPr="00647537">
              <w:rPr>
                <w:rFonts w:ascii="Calibri" w:hAnsi="Calibri" w:cs="Calibri"/>
                <w:sz w:val="15"/>
                <w:szCs w:val="15"/>
              </w:rPr>
              <w:t>gree of accuracy in grammar, vocabulary and sentence construction; register and style are consistently appropriate to the task.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CE1" w:rsidRPr="00647537" w:rsidRDefault="00E541EB">
            <w:pPr>
              <w:pStyle w:val="Tabellenstil2A"/>
              <w:rPr>
                <w:rFonts w:ascii="Calibri" w:hAnsi="Calibri" w:cs="Calibri"/>
              </w:rPr>
            </w:pPr>
            <w:r w:rsidRPr="00647537">
              <w:rPr>
                <w:rFonts w:ascii="Calibri" w:hAnsi="Calibri" w:cs="Calibri"/>
                <w:sz w:val="15"/>
                <w:szCs w:val="15"/>
              </w:rPr>
              <w:t>Language is very clear, effective, carefully chosen and precise, with a high degree of accuracy in grammar, vocabulary and sente</w:t>
            </w:r>
            <w:r w:rsidRPr="00647537">
              <w:rPr>
                <w:rFonts w:ascii="Calibri" w:hAnsi="Calibri" w:cs="Calibri"/>
                <w:sz w:val="15"/>
                <w:szCs w:val="15"/>
              </w:rPr>
              <w:t xml:space="preserve">nce construction; register and style are effective and appropriate to the task. </w:t>
            </w:r>
          </w:p>
        </w:tc>
      </w:tr>
      <w:bookmarkEnd w:id="0"/>
    </w:tbl>
    <w:p w:rsidR="002E2CE1" w:rsidRPr="00647537" w:rsidRDefault="002E2CE1">
      <w:pPr>
        <w:widowControl w:val="0"/>
        <w:tabs>
          <w:tab w:val="left" w:pos="6379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108" w:hanging="108"/>
        <w:rPr>
          <w:rFonts w:ascii="Calibri" w:hAnsi="Calibri" w:cs="Calibri"/>
        </w:rPr>
      </w:pPr>
    </w:p>
    <w:sectPr w:rsidR="002E2CE1" w:rsidRPr="00647537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1EB" w:rsidRDefault="00E541EB">
      <w:r>
        <w:separator/>
      </w:r>
    </w:p>
  </w:endnote>
  <w:endnote w:type="continuationSeparator" w:id="0">
    <w:p w:rsidR="00E541EB" w:rsidRDefault="00E5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CE1" w:rsidRDefault="002E2CE1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1EB" w:rsidRDefault="00E541EB">
      <w:r>
        <w:separator/>
      </w:r>
    </w:p>
  </w:footnote>
  <w:footnote w:type="continuationSeparator" w:id="0">
    <w:p w:rsidR="00E541EB" w:rsidRDefault="00E54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CE1" w:rsidRDefault="002E2CE1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D30B0"/>
    <w:multiLevelType w:val="hybridMultilevel"/>
    <w:tmpl w:val="392C9F88"/>
    <w:lvl w:ilvl="0" w:tplc="B19A0E50">
      <w:start w:val="1"/>
      <w:numFmt w:val="bullet"/>
      <w:lvlText w:val="-"/>
      <w:lvlJc w:val="left"/>
      <w:pPr>
        <w:ind w:left="17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688C3B1E">
      <w:start w:val="1"/>
      <w:numFmt w:val="bullet"/>
      <w:lvlText w:val="-"/>
      <w:lvlJc w:val="left"/>
      <w:pPr>
        <w:ind w:left="41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44B67528">
      <w:start w:val="1"/>
      <w:numFmt w:val="bullet"/>
      <w:lvlText w:val="-"/>
      <w:lvlJc w:val="left"/>
      <w:pPr>
        <w:ind w:left="65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AEACDF0">
      <w:start w:val="1"/>
      <w:numFmt w:val="bullet"/>
      <w:lvlText w:val="-"/>
      <w:lvlJc w:val="left"/>
      <w:pPr>
        <w:ind w:left="89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166CAD9C">
      <w:start w:val="1"/>
      <w:numFmt w:val="bullet"/>
      <w:lvlText w:val="-"/>
      <w:lvlJc w:val="left"/>
      <w:pPr>
        <w:ind w:left="113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E166A71E">
      <w:start w:val="1"/>
      <w:numFmt w:val="bullet"/>
      <w:lvlText w:val="-"/>
      <w:lvlJc w:val="left"/>
      <w:pPr>
        <w:ind w:left="137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9FBC5B50">
      <w:start w:val="1"/>
      <w:numFmt w:val="bullet"/>
      <w:lvlText w:val="-"/>
      <w:lvlJc w:val="left"/>
      <w:pPr>
        <w:ind w:left="161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7A2EB0A0">
      <w:start w:val="1"/>
      <w:numFmt w:val="bullet"/>
      <w:lvlText w:val="-"/>
      <w:lvlJc w:val="left"/>
      <w:pPr>
        <w:ind w:left="185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8F88CB4C">
      <w:start w:val="1"/>
      <w:numFmt w:val="bullet"/>
      <w:lvlText w:val="-"/>
      <w:lvlJc w:val="left"/>
      <w:pPr>
        <w:ind w:left="209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1" w15:restartNumberingAfterBreak="0">
    <w:nsid w:val="5A43080F"/>
    <w:multiLevelType w:val="hybridMultilevel"/>
    <w:tmpl w:val="CD0E19FC"/>
    <w:lvl w:ilvl="0" w:tplc="4B7A0FC6">
      <w:start w:val="1"/>
      <w:numFmt w:val="bullet"/>
      <w:lvlText w:val="-"/>
      <w:lvlJc w:val="left"/>
      <w:pPr>
        <w:tabs>
          <w:tab w:val="left" w:pos="6379"/>
        </w:tabs>
        <w:ind w:left="17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914EF66A">
      <w:start w:val="1"/>
      <w:numFmt w:val="bullet"/>
      <w:lvlText w:val="-"/>
      <w:lvlJc w:val="left"/>
      <w:pPr>
        <w:tabs>
          <w:tab w:val="left" w:pos="6379"/>
        </w:tabs>
        <w:ind w:left="41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F9969B1A">
      <w:start w:val="1"/>
      <w:numFmt w:val="bullet"/>
      <w:lvlText w:val="-"/>
      <w:lvlJc w:val="left"/>
      <w:pPr>
        <w:tabs>
          <w:tab w:val="left" w:pos="6379"/>
        </w:tabs>
        <w:ind w:left="65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A6A6DC80">
      <w:start w:val="1"/>
      <w:numFmt w:val="bullet"/>
      <w:lvlText w:val="-"/>
      <w:lvlJc w:val="left"/>
      <w:pPr>
        <w:tabs>
          <w:tab w:val="left" w:pos="6379"/>
        </w:tabs>
        <w:ind w:left="89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B692A3EA">
      <w:start w:val="1"/>
      <w:numFmt w:val="bullet"/>
      <w:lvlText w:val="-"/>
      <w:lvlJc w:val="left"/>
      <w:pPr>
        <w:tabs>
          <w:tab w:val="left" w:pos="6379"/>
        </w:tabs>
        <w:ind w:left="113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B24CA788">
      <w:start w:val="1"/>
      <w:numFmt w:val="bullet"/>
      <w:lvlText w:val="-"/>
      <w:lvlJc w:val="left"/>
      <w:pPr>
        <w:tabs>
          <w:tab w:val="left" w:pos="6379"/>
        </w:tabs>
        <w:ind w:left="137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966657F2">
      <w:start w:val="1"/>
      <w:numFmt w:val="bullet"/>
      <w:lvlText w:val="-"/>
      <w:lvlJc w:val="left"/>
      <w:pPr>
        <w:tabs>
          <w:tab w:val="left" w:pos="6379"/>
        </w:tabs>
        <w:ind w:left="161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5E7E5DF8">
      <w:start w:val="1"/>
      <w:numFmt w:val="bullet"/>
      <w:lvlText w:val="-"/>
      <w:lvlJc w:val="left"/>
      <w:pPr>
        <w:tabs>
          <w:tab w:val="left" w:pos="6379"/>
        </w:tabs>
        <w:ind w:left="185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650610A6">
      <w:start w:val="1"/>
      <w:numFmt w:val="bullet"/>
      <w:lvlText w:val="-"/>
      <w:lvlJc w:val="left"/>
      <w:pPr>
        <w:tabs>
          <w:tab w:val="left" w:pos="6379"/>
        </w:tabs>
        <w:ind w:left="209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620E0D25"/>
    <w:multiLevelType w:val="hybridMultilevel"/>
    <w:tmpl w:val="FA149598"/>
    <w:lvl w:ilvl="0" w:tplc="69DEDCAC">
      <w:start w:val="1"/>
      <w:numFmt w:val="bullet"/>
      <w:lvlText w:val="-"/>
      <w:lvlJc w:val="left"/>
      <w:pPr>
        <w:ind w:left="17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51802366">
      <w:start w:val="1"/>
      <w:numFmt w:val="bullet"/>
      <w:lvlText w:val="-"/>
      <w:lvlJc w:val="left"/>
      <w:pPr>
        <w:ind w:left="41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66A2DF70">
      <w:start w:val="1"/>
      <w:numFmt w:val="bullet"/>
      <w:lvlText w:val="-"/>
      <w:lvlJc w:val="left"/>
      <w:pPr>
        <w:ind w:left="65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6478D0D8">
      <w:start w:val="1"/>
      <w:numFmt w:val="bullet"/>
      <w:lvlText w:val="-"/>
      <w:lvlJc w:val="left"/>
      <w:pPr>
        <w:ind w:left="89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715E8264">
      <w:start w:val="1"/>
      <w:numFmt w:val="bullet"/>
      <w:lvlText w:val="-"/>
      <w:lvlJc w:val="left"/>
      <w:pPr>
        <w:ind w:left="113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A824EA62">
      <w:start w:val="1"/>
      <w:numFmt w:val="bullet"/>
      <w:lvlText w:val="-"/>
      <w:lvlJc w:val="left"/>
      <w:pPr>
        <w:ind w:left="137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62BE78F8">
      <w:start w:val="1"/>
      <w:numFmt w:val="bullet"/>
      <w:lvlText w:val="-"/>
      <w:lvlJc w:val="left"/>
      <w:pPr>
        <w:ind w:left="161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41FCE01A">
      <w:start w:val="1"/>
      <w:numFmt w:val="bullet"/>
      <w:lvlText w:val="-"/>
      <w:lvlJc w:val="left"/>
      <w:pPr>
        <w:ind w:left="185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F3303D7E">
      <w:start w:val="1"/>
      <w:numFmt w:val="bullet"/>
      <w:lvlText w:val="-"/>
      <w:lvlJc w:val="left"/>
      <w:pPr>
        <w:ind w:left="209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CE1"/>
    <w:rsid w:val="002E2CE1"/>
    <w:rsid w:val="00647537"/>
    <w:rsid w:val="00E5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AB2068E-FE6C-A145-9482-E7B5A575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 Neue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3A">
    <w:name w:val="Tabellenstil 3 A"/>
    <w:rPr>
      <w:rFonts w:ascii="Helvetica Neue" w:hAnsi="Helvetica Neue" w:cs="Arial Unicode MS"/>
      <w:b/>
      <w:bCs/>
      <w:color w:val="FFFFFF"/>
      <w:u w:color="FFFFFF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ellenstil2A">
    <w:name w:val="Tabellenstil 2 A"/>
    <w:rPr>
      <w:rFonts w:ascii="Helvetica Neue" w:hAnsi="Helvetica Neue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Pieter van der Vorm</cp:lastModifiedBy>
  <cp:revision>2</cp:revision>
  <dcterms:created xsi:type="dcterms:W3CDTF">2019-08-11T13:18:00Z</dcterms:created>
  <dcterms:modified xsi:type="dcterms:W3CDTF">2019-08-11T13:18:00Z</dcterms:modified>
</cp:coreProperties>
</file>